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F8" w:rsidRPr="00861F5D" w:rsidRDefault="001E05F8" w:rsidP="001E05F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  <w:r w:rsidRPr="00861F5D">
        <w:rPr>
          <w:rFonts w:ascii="Liberation Serif" w:hAnsi="Liberation Serif" w:cs="Liberation Serif"/>
          <w:b/>
          <w:sz w:val="24"/>
          <w:szCs w:val="24"/>
        </w:rPr>
        <w:tab/>
      </w:r>
    </w:p>
    <w:p w:rsidR="001E05F8" w:rsidRPr="00861F5D" w:rsidRDefault="00743F76" w:rsidP="001E05F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Uchwała Nr 250/754/18</w:t>
      </w:r>
    </w:p>
    <w:p w:rsidR="001E05F8" w:rsidRPr="00861F5D" w:rsidRDefault="001E05F8" w:rsidP="001E05F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1E05F8" w:rsidRPr="00861F5D" w:rsidRDefault="00743F76" w:rsidP="001E05F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z dnia 5 listopada 2018 r</w:t>
      </w:r>
      <w:r w:rsidR="001E05F8" w:rsidRPr="00861F5D">
        <w:rPr>
          <w:rFonts w:ascii="Liberation Serif" w:hAnsi="Liberation Serif" w:cs="Liberation Serif"/>
          <w:b/>
          <w:sz w:val="24"/>
          <w:szCs w:val="24"/>
        </w:rPr>
        <w:t>.</w:t>
      </w:r>
    </w:p>
    <w:p w:rsidR="001E05F8" w:rsidRPr="00861F5D" w:rsidRDefault="001E05F8" w:rsidP="001E05F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 xml:space="preserve">w sprawie wyznaczenia do zbycia w drodze przetargu ustnego nieograniczonego niezabudowanej nieruchomości gruntowej położonej w Podgórzynie obręb 0006 Przesieka  </w:t>
      </w: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Na podstawie art. 32 ust. 2 pkt 3 ustawy z dnia 5 czerwca 1998 r. o samorządzie powiatowym /Dz. U. z 2018 r. poz. 995 z </w:t>
      </w:r>
      <w:proofErr w:type="spellStart"/>
      <w:r w:rsidRPr="00861F5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861F5D">
        <w:rPr>
          <w:rFonts w:ascii="Liberation Serif" w:hAnsi="Liberation Serif" w:cs="Liberation Serif"/>
          <w:sz w:val="24"/>
          <w:szCs w:val="24"/>
        </w:rPr>
        <w:t xml:space="preserve">. zm./, art. 35 ust. 1 i 2 ustawy z dnia 21 sierpnia 1997 r. o gospodarce nieruchomościami /Dz. U. z 2018 r. poz. 121 z </w:t>
      </w:r>
      <w:proofErr w:type="spellStart"/>
      <w:r w:rsidRPr="00861F5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861F5D">
        <w:rPr>
          <w:rFonts w:ascii="Liberation Serif" w:hAnsi="Liberation Serif" w:cs="Liberation Serif"/>
          <w:sz w:val="24"/>
          <w:szCs w:val="24"/>
        </w:rPr>
        <w:t xml:space="preserve">. zm./, § 7 uchwały Nr X/60/2015 Rady Powiatu Jeleniogórskiego z dnia 29 września 2015 r. w sprawie zasad gospodarowania nieruchomościami stanowiącymi własność Powiatu Jeleniogórskiego </w:t>
      </w:r>
      <w:r w:rsidRPr="00861F5D">
        <w:rPr>
          <w:rFonts w:ascii="Liberation Serif" w:hAnsi="Liberation Serif" w:cs="Liberation Serif"/>
          <w:b/>
          <w:sz w:val="24"/>
          <w:szCs w:val="24"/>
        </w:rPr>
        <w:t>/</w:t>
      </w:r>
      <w:r w:rsidRPr="00861F5D">
        <w:rPr>
          <w:rFonts w:ascii="Liberation Serif" w:hAnsi="Liberation Serif" w:cs="Liberation Serif"/>
          <w:sz w:val="24"/>
          <w:szCs w:val="24"/>
        </w:rPr>
        <w:t>opublikowanej w Dz. Urz. Woj. Dol. w dniu 8 października 2015 r. poz. 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1E05F8" w:rsidRPr="00861F5D" w:rsidRDefault="001E05F8" w:rsidP="001E05F8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§ 1.1.</w:t>
      </w:r>
      <w:r w:rsidRPr="00861F5D">
        <w:rPr>
          <w:rFonts w:ascii="Liberation Serif" w:hAnsi="Liberation Serif" w:cs="Liberation Serif"/>
        </w:rPr>
        <w:t xml:space="preserve"> 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Przeznacza się do sprzedaży w drodze przetargu ustnego nieograniczonego nieruchomość gruntową wchodzącą w skład powiatowego zasobu nieruchomości, położoną </w:t>
      </w:r>
      <w:r w:rsidRPr="00861F5D">
        <w:rPr>
          <w:rFonts w:ascii="Liberation Serif" w:hAnsi="Liberation Serif" w:cs="Liberation Serif"/>
          <w:sz w:val="24"/>
          <w:szCs w:val="24"/>
        </w:rPr>
        <w:br/>
        <w:t>w Podgórzynie  obręb 0006 Przesieka oznaczoną w operacie ewidencji gruntów i budynków jako działka nr 313/12 o pow. 1,37 ha.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2.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Sąd Rejonowy w Jeleniej Górze dla nieruchomości opisanej § 1 ust. 1 prowadzi księgę wieczystą Kw. JG1J/00050027/8.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 xml:space="preserve">§ 2. </w:t>
      </w:r>
      <w:r w:rsidRPr="00861F5D">
        <w:rPr>
          <w:rFonts w:ascii="Liberation Serif" w:hAnsi="Liberation Serif" w:cs="Liberation Serif"/>
          <w:sz w:val="24"/>
          <w:szCs w:val="24"/>
        </w:rPr>
        <w:t>Podaje się do publicznej wiadomości wykaz nieruchomości przeznaczonej do sprzedaży, o której mowa w § 1 ust. 1, stanowiący załącznik do niniejszej uchwały.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 xml:space="preserve">§ 3. </w:t>
      </w:r>
      <w:r w:rsidRPr="00861F5D">
        <w:rPr>
          <w:rFonts w:ascii="Liberation Serif" w:hAnsi="Liberation Serif" w:cs="Liberation Serif"/>
          <w:sz w:val="24"/>
          <w:szCs w:val="24"/>
        </w:rPr>
        <w:t>Wykaz o którym mowa w § 2 wywiesza się na okres 21 dni w siedzibie Starostwa Powiatowego w Jeleniej Górze, a ponadto informację o wywieszeniu tego wykazu podaje się do publicznej wiadomości przez ogłoszenie w prasie lokalnej, a także na stronach internetowych Starostwa Powiatowego.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§ 4.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Wykonanie uchwały powierza się Dyrektorowi Wydziału Geodezji, Kartografii </w:t>
      </w:r>
      <w:r w:rsidRPr="00861F5D">
        <w:rPr>
          <w:rFonts w:ascii="Liberation Serif" w:hAnsi="Liberation Serif" w:cs="Liberation Serif"/>
          <w:sz w:val="24"/>
          <w:szCs w:val="24"/>
        </w:rPr>
        <w:br/>
        <w:t xml:space="preserve">i Gospodarki Nieruchomościami. </w:t>
      </w:r>
    </w:p>
    <w:p w:rsidR="001E05F8" w:rsidRPr="00861F5D" w:rsidRDefault="001E05F8" w:rsidP="001E05F8">
      <w:pPr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b/>
          <w:sz w:val="24"/>
          <w:szCs w:val="24"/>
        </w:rPr>
        <w:t>§ 5.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ab/>
      </w:r>
      <w:r w:rsidRPr="00861F5D">
        <w:rPr>
          <w:rFonts w:ascii="Liberation Serif" w:hAnsi="Liberation Serif" w:cs="Liberation Serif"/>
          <w:sz w:val="24"/>
          <w:szCs w:val="24"/>
        </w:rPr>
        <w:br/>
      </w: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2"/>
          <w:szCs w:val="24"/>
        </w:rPr>
      </w:pPr>
    </w:p>
    <w:p w:rsidR="00861F5D" w:rsidRPr="00861F5D" w:rsidRDefault="00861F5D" w:rsidP="00861F5D">
      <w:pPr>
        <w:rPr>
          <w:rFonts w:ascii="Liberation Serif" w:hAnsi="Liberation Serif" w:cs="Liberation Serif"/>
          <w:sz w:val="40"/>
          <w:szCs w:val="26"/>
          <w:lang w:eastAsia="pl-PL"/>
        </w:rPr>
      </w:pPr>
      <w:r w:rsidRPr="00861F5D">
        <w:rPr>
          <w:rFonts w:ascii="Liberation Serif" w:hAnsi="Liberation Serif" w:cs="Liberation Serif"/>
          <w:sz w:val="24"/>
          <w:szCs w:val="26"/>
        </w:rPr>
        <w:t>Starosta</w:t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  <w:t>Wicestarosta</w:t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861F5D" w:rsidRPr="00861F5D" w:rsidRDefault="00861F5D" w:rsidP="00861F5D">
      <w:pPr>
        <w:rPr>
          <w:rFonts w:ascii="Liberation Serif" w:hAnsi="Liberation Serif" w:cs="Liberation Serif"/>
          <w:sz w:val="40"/>
          <w:szCs w:val="26"/>
        </w:rPr>
      </w:pP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861F5D" w:rsidRPr="00861F5D" w:rsidRDefault="00861F5D" w:rsidP="00861F5D">
      <w:pPr>
        <w:jc w:val="both"/>
        <w:rPr>
          <w:rFonts w:ascii="Liberation Serif" w:hAnsi="Liberation Serif" w:cs="Liberation Serif"/>
          <w:szCs w:val="26"/>
          <w:lang w:eastAsia="pl-PL"/>
        </w:rPr>
      </w:pPr>
      <w:r w:rsidRPr="00861F5D">
        <w:rPr>
          <w:rFonts w:ascii="Liberation Serif" w:hAnsi="Liberation Serif" w:cs="Liberation Serif"/>
          <w:sz w:val="24"/>
          <w:szCs w:val="26"/>
        </w:rPr>
        <w:t xml:space="preserve">Anna </w:t>
      </w:r>
      <w:proofErr w:type="spellStart"/>
      <w:r w:rsidRPr="00861F5D">
        <w:rPr>
          <w:rFonts w:ascii="Liberation Serif" w:hAnsi="Liberation Serif" w:cs="Liberation Serif"/>
          <w:sz w:val="24"/>
          <w:szCs w:val="26"/>
        </w:rPr>
        <w:t>Konieczyńska</w:t>
      </w:r>
      <w:proofErr w:type="spellEnd"/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  <w:t>Paweł Kwiatkowski</w:t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</w:r>
      <w:r w:rsidRPr="00861F5D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861F5D">
        <w:rPr>
          <w:rFonts w:ascii="Liberation Serif" w:hAnsi="Liberation Serif" w:cs="Liberation Serif"/>
          <w:b/>
          <w:sz w:val="24"/>
          <w:szCs w:val="24"/>
        </w:rPr>
        <w:lastRenderedPageBreak/>
        <w:t>Uzasadnienie</w:t>
      </w: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b/>
        </w:rPr>
      </w:pPr>
    </w:p>
    <w:p w:rsidR="001E05F8" w:rsidRPr="00861F5D" w:rsidRDefault="001E05F8" w:rsidP="001E05F8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Art. 25 b ustawy z dnia 21 sierpnia 1997 r. o gospodarce nieruchomościami </w:t>
      </w:r>
      <w:r w:rsidR="00047B05" w:rsidRPr="00861F5D">
        <w:rPr>
          <w:rFonts w:ascii="Liberation Serif" w:hAnsi="Liberation Serif" w:cs="Liberation Serif"/>
          <w:sz w:val="24"/>
          <w:szCs w:val="24"/>
        </w:rPr>
        <w:t xml:space="preserve">oraz § 7 uchwały Nr X/60/2015 Rady Powiatu Jeleniogórskiego </w:t>
      </w:r>
      <w:r w:rsidRPr="00861F5D">
        <w:rPr>
          <w:rFonts w:ascii="Liberation Serif" w:hAnsi="Liberation Serif" w:cs="Liberation Serif"/>
          <w:sz w:val="24"/>
          <w:szCs w:val="24"/>
        </w:rPr>
        <w:t>stwierdza, że powiatowym zasobem nieruchomości gospodaruje zarząd powiatu. U</w:t>
      </w:r>
      <w:r w:rsidR="00047B05" w:rsidRPr="00861F5D">
        <w:rPr>
          <w:rFonts w:ascii="Liberation Serif" w:hAnsi="Liberation Serif" w:cs="Liberation Serif"/>
          <w:sz w:val="24"/>
          <w:szCs w:val="24"/>
        </w:rPr>
        <w:t xml:space="preserve">stawa upoważnia, więc zarząd do </w:t>
      </w:r>
      <w:r w:rsidRPr="00861F5D">
        <w:rPr>
          <w:rFonts w:ascii="Liberation Serif" w:hAnsi="Liberation Serif" w:cs="Liberation Serif"/>
          <w:sz w:val="24"/>
          <w:szCs w:val="24"/>
        </w:rPr>
        <w:t>gospodarowania powiatowym zasobem nieruchomości samod</w:t>
      </w:r>
      <w:r w:rsidR="00047B05" w:rsidRPr="00861F5D">
        <w:rPr>
          <w:rFonts w:ascii="Liberation Serif" w:hAnsi="Liberation Serif" w:cs="Liberation Serif"/>
          <w:sz w:val="24"/>
          <w:szCs w:val="24"/>
        </w:rPr>
        <w:t xml:space="preserve">zielnie w granicach określonych </w:t>
      </w:r>
      <w:r w:rsidRPr="00861F5D">
        <w:rPr>
          <w:rFonts w:ascii="Liberation Serif" w:hAnsi="Liberation Serif" w:cs="Liberation Serif"/>
          <w:sz w:val="24"/>
          <w:szCs w:val="24"/>
        </w:rPr>
        <w:t>w ustawie.</w:t>
      </w:r>
    </w:p>
    <w:p w:rsidR="001E05F8" w:rsidRPr="00861F5D" w:rsidRDefault="001E05F8" w:rsidP="001E05F8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Zgodnie z miejscowym planem zagospodarowania przestrzennego Gminy Podgórzyn uchwalonego przez Radę Gminy w Podgórzynie uchwałą nr XXII/186/2000 z dnia 06.11.2000r. w/w nieruchomość położona jest na obszarze oznaczonym symbolem:</w:t>
      </w:r>
    </w:p>
    <w:p w:rsidR="001E05F8" w:rsidRPr="00861F5D" w:rsidRDefault="001E05F8" w:rsidP="001E05F8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U –  jako przeznaczenie podstawowe ustala się nieuciążliwe usługi z zakresu turystyki, kultury, ochrony zdrowia, sportu i oświaty z zielenią towarzyszącą. </w:t>
      </w: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Na terenach tych ustala się:</w:t>
      </w:r>
    </w:p>
    <w:p w:rsidR="001E05F8" w:rsidRPr="00861F5D" w:rsidRDefault="001E05F8" w:rsidP="00557D35">
      <w:pPr>
        <w:numPr>
          <w:ilvl w:val="0"/>
          <w:numId w:val="2"/>
        </w:numPr>
        <w:tabs>
          <w:tab w:val="clear" w:pos="720"/>
          <w:tab w:val="num" w:pos="142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trwałą adaptację zabudowy istniejącej z dopuszczeniem </w:t>
      </w:r>
      <w:r w:rsidR="00557D35" w:rsidRPr="00861F5D">
        <w:rPr>
          <w:rFonts w:ascii="Liberation Serif" w:hAnsi="Liberation Serif" w:cs="Liberation Serif"/>
          <w:sz w:val="24"/>
          <w:szCs w:val="24"/>
        </w:rPr>
        <w:t xml:space="preserve">jej remontów i modernizacji pod </w:t>
      </w:r>
      <w:r w:rsidRPr="00861F5D">
        <w:rPr>
          <w:rFonts w:ascii="Liberation Serif" w:hAnsi="Liberation Serif" w:cs="Liberation Serif"/>
          <w:sz w:val="24"/>
          <w:szCs w:val="24"/>
        </w:rPr>
        <w:t>warunkiem zachowania obecnej wysokości i nie przekroczenia wskaźnika intensywności zabudowy 0,2,</w:t>
      </w:r>
    </w:p>
    <w:p w:rsidR="001E05F8" w:rsidRPr="00861F5D" w:rsidRDefault="001E05F8" w:rsidP="00557D35">
      <w:pPr>
        <w:numPr>
          <w:ilvl w:val="0"/>
          <w:numId w:val="2"/>
        </w:numPr>
        <w:tabs>
          <w:tab w:val="clear" w:pos="720"/>
          <w:tab w:val="num" w:pos="142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realizację nowoprojektowanej zabudowy z zachowaniem następujących wymagań:</w:t>
      </w:r>
    </w:p>
    <w:p w:rsidR="001E05F8" w:rsidRPr="00861F5D" w:rsidRDefault="001E05F8" w:rsidP="00557D35">
      <w:pPr>
        <w:numPr>
          <w:ilvl w:val="0"/>
          <w:numId w:val="1"/>
        </w:numPr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maksymalna intensywność zabudowy – 0,2</w:t>
      </w:r>
    </w:p>
    <w:p w:rsidR="001E05F8" w:rsidRPr="00861F5D" w:rsidRDefault="001E05F8" w:rsidP="00557D35">
      <w:pPr>
        <w:numPr>
          <w:ilvl w:val="0"/>
          <w:numId w:val="1"/>
        </w:numPr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minimalna powierzchnia terenów zieleni – 40 % powierzchni działki</w:t>
      </w:r>
    </w:p>
    <w:p w:rsidR="001E05F8" w:rsidRPr="00861F5D" w:rsidRDefault="001E05F8" w:rsidP="00557D35">
      <w:pPr>
        <w:numPr>
          <w:ilvl w:val="0"/>
          <w:numId w:val="1"/>
        </w:numPr>
        <w:tabs>
          <w:tab w:val="clear" w:pos="357"/>
          <w:tab w:val="num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parkingi w min. 1 </w:t>
      </w:r>
      <w:proofErr w:type="spellStart"/>
      <w:r w:rsidRPr="00861F5D">
        <w:rPr>
          <w:rFonts w:ascii="Liberation Serif" w:hAnsi="Liberation Serif" w:cs="Liberation Serif"/>
          <w:sz w:val="24"/>
          <w:szCs w:val="24"/>
        </w:rPr>
        <w:t>mp</w:t>
      </w:r>
      <w:proofErr w:type="spellEnd"/>
      <w:r w:rsidRPr="00861F5D">
        <w:rPr>
          <w:rFonts w:ascii="Liberation Serif" w:hAnsi="Liberation Serif" w:cs="Liberation Serif"/>
          <w:sz w:val="24"/>
          <w:szCs w:val="24"/>
        </w:rPr>
        <w:t>/4 użytkowników (za wyjątkiem schronisk młodzieżowych i pól biwakowych, dla których tego wskaźnika nie określa się)</w:t>
      </w:r>
    </w:p>
    <w:p w:rsidR="001E05F8" w:rsidRPr="00861F5D" w:rsidRDefault="001E05F8" w:rsidP="00557D35">
      <w:pPr>
        <w:numPr>
          <w:ilvl w:val="0"/>
          <w:numId w:val="1"/>
        </w:numPr>
        <w:tabs>
          <w:tab w:val="clear" w:pos="357"/>
          <w:tab w:val="num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maksymalna wysokość zabudowy – 2 kondygnacje nadziemne + poddasze użytkowe.</w:t>
      </w:r>
    </w:p>
    <w:p w:rsidR="001E05F8" w:rsidRPr="00861F5D" w:rsidRDefault="001E05F8" w:rsidP="00557D35">
      <w:pPr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Liczba kondygnacji winna być liczona od strony ciągów komunikacyjnych, do których przylegają projektowane obiekty i nie obowiązywać w odniesieniu do wież widokowych itp. dominat architektonicznych</w:t>
      </w:r>
    </w:p>
    <w:p w:rsidR="001E05F8" w:rsidRPr="00861F5D" w:rsidRDefault="001E05F8" w:rsidP="00557D35">
      <w:pPr>
        <w:numPr>
          <w:ilvl w:val="0"/>
          <w:numId w:val="1"/>
        </w:numPr>
        <w:tabs>
          <w:tab w:val="clear" w:pos="357"/>
          <w:tab w:val="num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dachy strome, symetryczne o kącie nachylenia połaci 40-60</w:t>
      </w:r>
      <w:r w:rsidRPr="00861F5D">
        <w:rPr>
          <w:rFonts w:ascii="Liberation Serif" w:hAnsi="Liberation Serif" w:cs="Liberation Serif"/>
          <w:sz w:val="24"/>
          <w:szCs w:val="24"/>
          <w:vertAlign w:val="superscript"/>
        </w:rPr>
        <w:t>0</w:t>
      </w:r>
    </w:p>
    <w:p w:rsidR="001E05F8" w:rsidRPr="00861F5D" w:rsidRDefault="00557D35" w:rsidP="00557D35">
      <w:pPr>
        <w:numPr>
          <w:ilvl w:val="0"/>
          <w:numId w:val="1"/>
        </w:numPr>
        <w:tabs>
          <w:tab w:val="clear" w:pos="357"/>
          <w:tab w:val="num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w </w:t>
      </w:r>
      <w:r w:rsidR="001E05F8" w:rsidRPr="00861F5D">
        <w:rPr>
          <w:rFonts w:ascii="Liberation Serif" w:hAnsi="Liberation Serif" w:cs="Liberation Serif"/>
          <w:sz w:val="24"/>
          <w:szCs w:val="24"/>
        </w:rPr>
        <w:t xml:space="preserve">wykończeniu obiektów należy wykluczyć stosowanie okładzin ściennych </w:t>
      </w:r>
      <w:r w:rsidR="001E05F8" w:rsidRPr="00861F5D">
        <w:rPr>
          <w:rFonts w:ascii="Liberation Serif" w:hAnsi="Liberation Serif" w:cs="Liberation Serif"/>
          <w:sz w:val="24"/>
          <w:szCs w:val="24"/>
        </w:rPr>
        <w:br/>
        <w:t>z tworzyw sztucznych</w:t>
      </w:r>
    </w:p>
    <w:p w:rsidR="001E05F8" w:rsidRPr="00861F5D" w:rsidRDefault="001E05F8" w:rsidP="00557D35">
      <w:pPr>
        <w:numPr>
          <w:ilvl w:val="0"/>
          <w:numId w:val="1"/>
        </w:numPr>
        <w:tabs>
          <w:tab w:val="clear" w:pos="357"/>
          <w:tab w:val="num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architektura obiektów w zakresie formy detalu winna nawiązywać do lokalnej tradycji.</w:t>
      </w:r>
    </w:p>
    <w:p w:rsidR="001E05F8" w:rsidRPr="00861F5D" w:rsidRDefault="001E05F8" w:rsidP="001E05F8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Jako przeznaczenie uzupełniające i dopuszczalne ustalono: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mieszkalnictwo istniejące,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mieszkalnictwo projektowane zajmujące 25 % powierzchni terenu rozpatrywanego </w:t>
      </w:r>
      <w:r w:rsidRPr="00861F5D">
        <w:rPr>
          <w:rFonts w:ascii="Liberation Serif" w:hAnsi="Liberation Serif" w:cs="Liberation Serif"/>
          <w:sz w:val="24"/>
          <w:szCs w:val="24"/>
        </w:rPr>
        <w:br/>
        <w:t xml:space="preserve">w granicach ustalonych liniami rozgraniczającymi, 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zieleń urządzoną i wody otwarte,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układy komunikacji wewnętrznej oraz obiekty i urządzenia technicznej obsługi obszaru,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wbudowane nieuciążliwe usługi innych branż wzbogacające funkcję podstawową </w:t>
      </w:r>
      <w:r w:rsidRPr="00861F5D">
        <w:rPr>
          <w:rFonts w:ascii="Liberation Serif" w:hAnsi="Liberation Serif" w:cs="Liberation Serif"/>
          <w:sz w:val="24"/>
          <w:szCs w:val="24"/>
        </w:rPr>
        <w:br/>
        <w:t>i nie wymagające zmiany formy przestrzeni obiektu,</w:t>
      </w:r>
    </w:p>
    <w:p w:rsidR="001E05F8" w:rsidRPr="00861F5D" w:rsidRDefault="001E05F8" w:rsidP="00557D35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zabudowa mieszkaniowa realizowana w obrębie terenów przeznaczonych symbolem U winna spełniać wymagania określone w  § 8 ust. 2 pkt 2 niniejszej uchwały.</w:t>
      </w:r>
    </w:p>
    <w:p w:rsidR="001E05F8" w:rsidRPr="00861F5D" w:rsidRDefault="001E05F8" w:rsidP="001E05F8">
      <w:pPr>
        <w:ind w:left="57" w:firstLine="227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Art. 35 ust 1 ustawy z dnia 21 sierpnia 1997 r. o gospodarce nieruchomościami /Dz.U. </w:t>
      </w:r>
      <w:r w:rsidRPr="00861F5D">
        <w:rPr>
          <w:rFonts w:ascii="Liberation Serif" w:hAnsi="Liberation Serif" w:cs="Liberation Serif"/>
          <w:sz w:val="24"/>
          <w:szCs w:val="24"/>
        </w:rPr>
        <w:br/>
        <w:t xml:space="preserve">z 2018 r. poz. 121 z </w:t>
      </w:r>
      <w:proofErr w:type="spellStart"/>
      <w:r w:rsidRPr="00861F5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861F5D">
        <w:rPr>
          <w:rFonts w:ascii="Liberation Serif" w:hAnsi="Liberation Serif" w:cs="Liberation Serif"/>
          <w:sz w:val="24"/>
          <w:szCs w:val="24"/>
        </w:rPr>
        <w:t>. zm./ stanowi, iż właściwy organ sporządza i podaje do publicznej wiadomości wykaz nieruchomości przeznaczonych do sprzedaży.</w:t>
      </w:r>
    </w:p>
    <w:p w:rsidR="001E05F8" w:rsidRPr="00861F5D" w:rsidRDefault="001E05F8" w:rsidP="001E05F8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Art. 67 ust. 2 pkt 1 powołanej ustawy określa zasady ustalania ceny przy sprzedaży nieruchomości w drodze I przetargu. </w:t>
      </w:r>
    </w:p>
    <w:p w:rsidR="001E05F8" w:rsidRPr="00861F5D" w:rsidRDefault="001E05F8" w:rsidP="001E05F8">
      <w:pPr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Wartość nieruchomości określona przez rzeczoznawcę majątkowego w operacie szacunkowym wyniosła – </w:t>
      </w:r>
      <w:r w:rsidR="00557D35" w:rsidRPr="00861F5D">
        <w:rPr>
          <w:rFonts w:ascii="Liberation Serif" w:hAnsi="Liberation Serif" w:cs="Liberation Serif"/>
          <w:sz w:val="24"/>
          <w:szCs w:val="24"/>
        </w:rPr>
        <w:t>455</w:t>
      </w:r>
      <w:r w:rsidRPr="00861F5D">
        <w:rPr>
          <w:rFonts w:ascii="Liberation Serif" w:hAnsi="Liberation Serif" w:cs="Liberation Serif"/>
          <w:sz w:val="24"/>
          <w:szCs w:val="24"/>
        </w:rPr>
        <w:t>.</w:t>
      </w:r>
      <w:r w:rsidR="00557D35" w:rsidRPr="00861F5D">
        <w:rPr>
          <w:rFonts w:ascii="Liberation Serif" w:hAnsi="Liberation Serif" w:cs="Liberation Serif"/>
          <w:sz w:val="24"/>
          <w:szCs w:val="24"/>
        </w:rPr>
        <w:t>7</w:t>
      </w:r>
      <w:r w:rsidRPr="00861F5D">
        <w:rPr>
          <w:rFonts w:ascii="Liberation Serif" w:hAnsi="Liberation Serif" w:cs="Liberation Serif"/>
          <w:sz w:val="24"/>
          <w:szCs w:val="24"/>
        </w:rPr>
        <w:t>00,00 zł.</w:t>
      </w: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Wobec powyższego cenę wywoławczą w pierwszym p</w:t>
      </w:r>
      <w:r w:rsidR="00EC6B17" w:rsidRPr="00861F5D">
        <w:rPr>
          <w:rFonts w:ascii="Liberation Serif" w:hAnsi="Liberation Serif" w:cs="Liberation Serif"/>
          <w:sz w:val="24"/>
          <w:szCs w:val="24"/>
        </w:rPr>
        <w:t>rzetargu ustnym nieograniczonym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nieruchomości</w:t>
      </w:r>
      <w:r w:rsidR="00EC6B17" w:rsidRPr="00861F5D">
        <w:rPr>
          <w:rFonts w:ascii="Liberation Serif" w:hAnsi="Liberation Serif" w:cs="Liberation Serif"/>
          <w:sz w:val="24"/>
          <w:szCs w:val="24"/>
        </w:rPr>
        <w:t xml:space="preserve"> gruntowej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w granicach działki nr </w:t>
      </w:r>
      <w:r w:rsidR="00EC6B17" w:rsidRPr="00861F5D">
        <w:rPr>
          <w:rFonts w:ascii="Liberation Serif" w:hAnsi="Liberation Serif" w:cs="Liberation Serif"/>
          <w:sz w:val="24"/>
          <w:szCs w:val="24"/>
        </w:rPr>
        <w:t>313/12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o pow. </w:t>
      </w:r>
      <w:r w:rsidR="00EC6B17" w:rsidRPr="00861F5D">
        <w:rPr>
          <w:rFonts w:ascii="Liberation Serif" w:hAnsi="Liberation Serif" w:cs="Liberation Serif"/>
          <w:sz w:val="24"/>
          <w:szCs w:val="24"/>
        </w:rPr>
        <w:t>1</w:t>
      </w:r>
      <w:r w:rsidRPr="00861F5D">
        <w:rPr>
          <w:rFonts w:ascii="Liberation Serif" w:hAnsi="Liberation Serif" w:cs="Liberation Serif"/>
          <w:sz w:val="24"/>
          <w:szCs w:val="24"/>
        </w:rPr>
        <w:t>,</w:t>
      </w:r>
      <w:r w:rsidR="00EC6B17" w:rsidRPr="00861F5D">
        <w:rPr>
          <w:rFonts w:ascii="Liberation Serif" w:hAnsi="Liberation Serif" w:cs="Liberation Serif"/>
          <w:sz w:val="24"/>
          <w:szCs w:val="24"/>
        </w:rPr>
        <w:t>37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ha, położonej </w:t>
      </w:r>
      <w:r w:rsidRPr="00861F5D">
        <w:rPr>
          <w:rFonts w:ascii="Liberation Serif" w:hAnsi="Liberation Serif" w:cs="Liberation Serif"/>
          <w:sz w:val="24"/>
          <w:szCs w:val="24"/>
        </w:rPr>
        <w:br/>
      </w:r>
      <w:r w:rsidRPr="00861F5D">
        <w:rPr>
          <w:rFonts w:ascii="Liberation Serif" w:hAnsi="Liberation Serif" w:cs="Liberation Serif"/>
          <w:sz w:val="24"/>
          <w:szCs w:val="24"/>
        </w:rPr>
        <w:lastRenderedPageBreak/>
        <w:t xml:space="preserve">w </w:t>
      </w:r>
      <w:r w:rsidR="00EC6B17" w:rsidRPr="00861F5D">
        <w:rPr>
          <w:rFonts w:ascii="Liberation Serif" w:hAnsi="Liberation Serif" w:cs="Liberation Serif"/>
          <w:sz w:val="24"/>
          <w:szCs w:val="24"/>
        </w:rPr>
        <w:t>Podgórzynie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 obręb 000</w:t>
      </w:r>
      <w:r w:rsidR="00EC6B17" w:rsidRPr="00861F5D">
        <w:rPr>
          <w:rFonts w:ascii="Liberation Serif" w:hAnsi="Liberation Serif" w:cs="Liberation Serif"/>
          <w:sz w:val="24"/>
          <w:szCs w:val="24"/>
        </w:rPr>
        <w:t>6 Przesieka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, powiększoną o koszty przygotowania dokumentacji ustala się w wysokości </w:t>
      </w:r>
      <w:r w:rsidR="00EC6B17" w:rsidRPr="00861F5D">
        <w:rPr>
          <w:rFonts w:ascii="Liberation Serif" w:hAnsi="Liberation Serif" w:cs="Liberation Serif"/>
          <w:sz w:val="24"/>
          <w:szCs w:val="24"/>
        </w:rPr>
        <w:t>47</w:t>
      </w:r>
      <w:r w:rsidRPr="00861F5D">
        <w:rPr>
          <w:rFonts w:ascii="Liberation Serif" w:hAnsi="Liberation Serif" w:cs="Liberation Serif"/>
          <w:sz w:val="24"/>
          <w:szCs w:val="24"/>
        </w:rPr>
        <w:t xml:space="preserve">0.000,00 zł. </w:t>
      </w:r>
    </w:p>
    <w:p w:rsidR="001E05F8" w:rsidRPr="00861F5D" w:rsidRDefault="001E05F8" w:rsidP="001E05F8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 xml:space="preserve">Stosownie do § 4 ust. 2 rozporządzenia Rady Ministrów z dnia 14 września 2004 r. </w:t>
      </w:r>
      <w:r w:rsidRPr="00861F5D">
        <w:rPr>
          <w:rFonts w:ascii="Liberation Serif" w:hAnsi="Liberation Serif" w:cs="Liberation Serif"/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1E05F8" w:rsidRPr="00861F5D" w:rsidRDefault="001E05F8" w:rsidP="001E05F8">
      <w:pPr>
        <w:ind w:left="1" w:firstLine="283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 w:rsidR="00B31A66" w:rsidRPr="00861F5D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861F5D">
        <w:rPr>
          <w:rFonts w:ascii="Liberation Serif" w:hAnsi="Liberation Serif" w:cs="Liberation Serif"/>
          <w:sz w:val="24"/>
          <w:szCs w:val="24"/>
        </w:rPr>
        <w:t>2</w:t>
      </w:r>
      <w:r w:rsidR="00EC6B17" w:rsidRPr="00861F5D">
        <w:rPr>
          <w:rFonts w:ascii="Liberation Serif" w:hAnsi="Liberation Serif" w:cs="Liberation Serif"/>
          <w:sz w:val="24"/>
          <w:szCs w:val="24"/>
        </w:rPr>
        <w:t>3</w:t>
      </w:r>
      <w:r w:rsidR="005B33E8" w:rsidRPr="00861F5D">
        <w:rPr>
          <w:rFonts w:ascii="Liberation Serif" w:hAnsi="Liberation Serif" w:cs="Liberation Serif"/>
          <w:sz w:val="24"/>
          <w:szCs w:val="24"/>
        </w:rPr>
        <w:t>.500,00 zł.</w:t>
      </w:r>
      <w:r w:rsidR="00732F2F" w:rsidRPr="00861F5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3E8" w:rsidRPr="00861F5D">
        <w:rPr>
          <w:rFonts w:ascii="Liberation Serif" w:hAnsi="Liberation Serif" w:cs="Liberation Serif"/>
          <w:sz w:val="24"/>
          <w:szCs w:val="24"/>
        </w:rPr>
        <w:t xml:space="preserve">                    </w:t>
      </w:r>
    </w:p>
    <w:p w:rsidR="001E05F8" w:rsidRPr="00861F5D" w:rsidRDefault="001E05F8" w:rsidP="001E05F8">
      <w:pPr>
        <w:ind w:left="1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61F5D">
        <w:rPr>
          <w:rFonts w:ascii="Liberation Serif" w:hAnsi="Liberation Serif" w:cs="Liberation Serif"/>
          <w:sz w:val="24"/>
          <w:szCs w:val="24"/>
        </w:rPr>
        <w:t>Wobec takiego stanu rzeczy zasadne jest podjęcie przedmiotowej uchwały.</w:t>
      </w:r>
    </w:p>
    <w:p w:rsidR="001E05F8" w:rsidRPr="00861F5D" w:rsidRDefault="001E05F8" w:rsidP="001E05F8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F8" w:rsidRPr="00861F5D" w:rsidRDefault="001E05F8" w:rsidP="001E05F8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05F8" w:rsidRPr="00861F5D" w:rsidRDefault="001E05F8" w:rsidP="001E05F8">
      <w:pPr>
        <w:rPr>
          <w:rFonts w:ascii="Liberation Serif" w:hAnsi="Liberation Serif" w:cs="Liberation Serif"/>
        </w:rPr>
      </w:pPr>
    </w:p>
    <w:p w:rsidR="001E05F8" w:rsidRPr="00861F5D" w:rsidRDefault="001E05F8" w:rsidP="001E05F8">
      <w:pPr>
        <w:rPr>
          <w:rFonts w:ascii="Liberation Serif" w:hAnsi="Liberation Serif" w:cs="Liberation Serif"/>
        </w:rPr>
      </w:pPr>
    </w:p>
    <w:p w:rsidR="00703673" w:rsidRPr="00861F5D" w:rsidRDefault="00703673">
      <w:pPr>
        <w:rPr>
          <w:rFonts w:ascii="Liberation Serif" w:hAnsi="Liberation Serif" w:cs="Liberation Serif"/>
        </w:rPr>
      </w:pPr>
    </w:p>
    <w:p w:rsidR="00861F5D" w:rsidRPr="00861F5D" w:rsidRDefault="00861F5D">
      <w:pPr>
        <w:rPr>
          <w:rFonts w:ascii="Liberation Serif" w:hAnsi="Liberation Serif" w:cs="Liberation Serif"/>
        </w:rPr>
      </w:pPr>
    </w:p>
    <w:sectPr w:rsidR="00861F5D" w:rsidRPr="0086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49B698A"/>
    <w:multiLevelType w:val="hybridMultilevel"/>
    <w:tmpl w:val="44467CB4"/>
    <w:lvl w:ilvl="0" w:tplc="384076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F8"/>
    <w:rsid w:val="00047B05"/>
    <w:rsid w:val="001E05F8"/>
    <w:rsid w:val="00557D35"/>
    <w:rsid w:val="005B33E8"/>
    <w:rsid w:val="006013B7"/>
    <w:rsid w:val="00703673"/>
    <w:rsid w:val="00732F2F"/>
    <w:rsid w:val="00743F76"/>
    <w:rsid w:val="00861F5D"/>
    <w:rsid w:val="00B31A66"/>
    <w:rsid w:val="00E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BB4C"/>
  <w15:chartTrackingRefBased/>
  <w15:docId w15:val="{D881C29D-5306-4EDB-A6FE-BF85D18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5F8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05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5939</Words>
  <Characters>35638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4</cp:revision>
  <cp:lastPrinted>2018-11-05T11:05:00Z</cp:lastPrinted>
  <dcterms:created xsi:type="dcterms:W3CDTF">2018-10-18T08:32:00Z</dcterms:created>
  <dcterms:modified xsi:type="dcterms:W3CDTF">2018-11-06T11:24:00Z</dcterms:modified>
</cp:coreProperties>
</file>